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B94D3E" w:rsidRDefault="00CD36CF" w:rsidP="00EF6030">
      <w:pPr>
        <w:pStyle w:val="TitlePageOrigin"/>
      </w:pPr>
      <w:r w:rsidRPr="00B94D3E">
        <w:t>WEST virginia legislature</w:t>
      </w:r>
    </w:p>
    <w:p w14:paraId="60EFD78C" w14:textId="5C2A9421" w:rsidR="00CD36CF" w:rsidRPr="00B94D3E" w:rsidRDefault="00CD36CF" w:rsidP="00EF6030">
      <w:pPr>
        <w:pStyle w:val="TitlePageSession"/>
      </w:pPr>
      <w:r w:rsidRPr="00B94D3E">
        <w:t>20</w:t>
      </w:r>
      <w:r w:rsidR="006565E8" w:rsidRPr="00B94D3E">
        <w:t>2</w:t>
      </w:r>
      <w:r w:rsidR="00F50749" w:rsidRPr="00B94D3E">
        <w:t>2</w:t>
      </w:r>
      <w:r w:rsidRPr="00B94D3E">
        <w:t xml:space="preserve"> regular session</w:t>
      </w:r>
    </w:p>
    <w:p w14:paraId="68818B08" w14:textId="0E5BA5B2" w:rsidR="005977F4" w:rsidRPr="00B94D3E" w:rsidRDefault="005977F4" w:rsidP="00EF6030">
      <w:pPr>
        <w:pStyle w:val="TitlePageSession"/>
      </w:pPr>
      <w:r w:rsidRPr="00B94D3E">
        <w:t>ENROLLED</w:t>
      </w:r>
    </w:p>
    <w:p w14:paraId="6C2CFCE2" w14:textId="77777777" w:rsidR="00CD36CF" w:rsidRPr="00B94D3E" w:rsidRDefault="004A4C35" w:rsidP="00EF6030">
      <w:pPr>
        <w:pStyle w:val="TitlePageBillPrefix"/>
      </w:pPr>
      <w:sdt>
        <w:sdtPr>
          <w:tag w:val="IntroDate"/>
          <w:id w:val="-1236936958"/>
          <w:placeholder>
            <w:docPart w:val="3316B43A5363490983AF1F72635E475E"/>
          </w:placeholder>
          <w:text/>
        </w:sdtPr>
        <w:sdtEndPr/>
        <w:sdtContent>
          <w:r w:rsidR="00AC3B58" w:rsidRPr="00B94D3E">
            <w:t>Committee Substitute</w:t>
          </w:r>
        </w:sdtContent>
      </w:sdt>
    </w:p>
    <w:p w14:paraId="14EE60F1" w14:textId="77777777" w:rsidR="00AC3B58" w:rsidRPr="00B94D3E" w:rsidRDefault="00AC3B58" w:rsidP="00EF6030">
      <w:pPr>
        <w:pStyle w:val="TitlePageBillPrefix"/>
      </w:pPr>
      <w:r w:rsidRPr="00B94D3E">
        <w:t>for</w:t>
      </w:r>
    </w:p>
    <w:p w14:paraId="1809B453" w14:textId="53536F7B" w:rsidR="00CD36CF" w:rsidRPr="00B94D3E" w:rsidRDefault="004A4C35"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E55290" w:rsidRPr="00B94D3E">
            <w:t>Senate</w:t>
          </w:r>
        </w:sdtContent>
      </w:sdt>
      <w:r w:rsidR="00303684" w:rsidRPr="00B94D3E">
        <w:t xml:space="preserve"> </w:t>
      </w:r>
      <w:r w:rsidR="00CD36CF" w:rsidRPr="00B94D3E">
        <w:t xml:space="preserve">Bill </w:t>
      </w:r>
      <w:sdt>
        <w:sdtPr>
          <w:tag w:val="BNum"/>
          <w:id w:val="1645317809"/>
          <w:lock w:val="sdtLocked"/>
          <w:placeholder>
            <w:docPart w:val="31DC770E9F534C1F9CDB2A76911FE768"/>
          </w:placeholder>
          <w:text/>
        </w:sdtPr>
        <w:sdtEndPr/>
        <w:sdtContent>
          <w:r w:rsidR="00E55290" w:rsidRPr="00B94D3E">
            <w:t>231</w:t>
          </w:r>
        </w:sdtContent>
      </w:sdt>
    </w:p>
    <w:p w14:paraId="7641A77A" w14:textId="77777777" w:rsidR="0078613F" w:rsidRPr="00B94D3E" w:rsidRDefault="004A4C35" w:rsidP="0078613F">
      <w:pPr>
        <w:pStyle w:val="Sponsors"/>
        <w:rPr>
          <w:color w:val="auto"/>
        </w:rPr>
      </w:pPr>
      <w:sdt>
        <w:sdtPr>
          <w:rPr>
            <w:color w:val="auto"/>
          </w:rPr>
          <w:tag w:val="Sponsors"/>
          <w:id w:val="1589585889"/>
          <w:placeholder>
            <w:docPart w:val="12CEB635EF5643A49F90CB76D4175B78"/>
          </w:placeholder>
          <w:text w:multiLine="1"/>
        </w:sdtPr>
        <w:sdtEndPr/>
        <w:sdtContent>
          <w:r w:rsidR="0078613F" w:rsidRPr="00B94D3E">
            <w:rPr>
              <w:color w:val="auto"/>
            </w:rPr>
            <w:t>By Senators Tarr, Romano, Lindsay, Baldwin, Plymale, Jeffries, Stollings, and Woelfel</w:t>
          </w:r>
        </w:sdtContent>
      </w:sdt>
    </w:p>
    <w:p w14:paraId="0875E990" w14:textId="34541D75" w:rsidR="00E55290" w:rsidRPr="00B94D3E" w:rsidRDefault="00CD36CF" w:rsidP="00EF6030">
      <w:pPr>
        <w:pStyle w:val="References"/>
      </w:pPr>
      <w:r w:rsidRPr="00B94D3E">
        <w:t>[</w:t>
      </w:r>
      <w:r w:rsidR="005977F4" w:rsidRPr="00B94D3E">
        <w:t>Passed</w:t>
      </w:r>
      <w:r w:rsidR="004A4C35">
        <w:t xml:space="preserve"> March 12, 2022; in effect 90 days from passage</w:t>
      </w:r>
      <w:r w:rsidRPr="00B94D3E">
        <w:t>]</w:t>
      </w:r>
    </w:p>
    <w:p w14:paraId="0EE5F2AA" w14:textId="77777777" w:rsidR="00E55290" w:rsidRPr="00B94D3E" w:rsidRDefault="00E55290" w:rsidP="00E55290">
      <w:pPr>
        <w:pStyle w:val="TitlePageOrigin"/>
      </w:pPr>
    </w:p>
    <w:p w14:paraId="697E8EE3" w14:textId="5CC86560" w:rsidR="00E55290" w:rsidRPr="00B94D3E" w:rsidRDefault="00E55290" w:rsidP="00E55290">
      <w:pPr>
        <w:pStyle w:val="TitlePageOrigin"/>
        <w:rPr>
          <w:color w:val="auto"/>
        </w:rPr>
      </w:pPr>
    </w:p>
    <w:p w14:paraId="373C9293" w14:textId="6B988D0E" w:rsidR="00E55290" w:rsidRPr="00B94D3E" w:rsidRDefault="00E55290" w:rsidP="00E55290">
      <w:pPr>
        <w:pStyle w:val="TitleSection"/>
        <w:rPr>
          <w:color w:val="auto"/>
        </w:rPr>
      </w:pPr>
      <w:r w:rsidRPr="00B94D3E">
        <w:rPr>
          <w:color w:val="auto"/>
        </w:rPr>
        <w:lastRenderedPageBreak/>
        <w:t>A</w:t>
      </w:r>
      <w:r w:rsidR="00970FB7" w:rsidRPr="00B94D3E">
        <w:rPr>
          <w:color w:val="auto"/>
        </w:rPr>
        <w:t>N ACT</w:t>
      </w:r>
      <w:r w:rsidRPr="00B94D3E">
        <w:rPr>
          <w:color w:val="auto"/>
        </w:rPr>
        <w:t xml:space="preserve"> to amend and reenact §31G-4-1 of the Code of West Virginia, 1931, as amended</w:t>
      </w:r>
      <w:r w:rsidR="00C76EE7" w:rsidRPr="00B94D3E">
        <w:rPr>
          <w:color w:val="auto"/>
        </w:rPr>
        <w:t>; and to amend said code by adding thereto a new section, designated §31G-4-7,</w:t>
      </w:r>
      <w:r w:rsidRPr="00B94D3E">
        <w:rPr>
          <w:color w:val="auto"/>
        </w:rPr>
        <w:t xml:space="preserve"> </w:t>
      </w:r>
      <w:bookmarkStart w:id="0" w:name="_Hlk91581260"/>
      <w:r w:rsidRPr="00B94D3E">
        <w:rPr>
          <w:color w:val="auto"/>
        </w:rPr>
        <w:t>all relating to broadband connectivity; defining terms; requiring engineering reports on available telecommunication cable space; providing for shared costs for the report; requiring notice from pole owner or manager to telecommunication carriers of available space; requiring notice to pole owner or manager of intent to use any available space</w:t>
      </w:r>
      <w:bookmarkEnd w:id="0"/>
      <w:r w:rsidR="004E0F68" w:rsidRPr="00B94D3E">
        <w:rPr>
          <w:color w:val="auto"/>
        </w:rPr>
        <w:t>; and exempting pole owners which have electronic permitting and notification software system for processing pole attachment applications.</w:t>
      </w:r>
    </w:p>
    <w:p w14:paraId="29CFF1C3" w14:textId="77777777" w:rsidR="00E55290" w:rsidRPr="00B94D3E" w:rsidRDefault="00E55290" w:rsidP="00E55290">
      <w:pPr>
        <w:pStyle w:val="SectionHeading"/>
        <w:rPr>
          <w:b w:val="0"/>
          <w:bCs/>
          <w:i/>
          <w:iCs/>
          <w:color w:val="auto"/>
        </w:rPr>
      </w:pPr>
      <w:r w:rsidRPr="00B94D3E">
        <w:rPr>
          <w:b w:val="0"/>
          <w:bCs/>
          <w:i/>
          <w:iCs/>
          <w:color w:val="auto"/>
        </w:rPr>
        <w:t>Be it enacted by the Legislature of West Virginia:</w:t>
      </w:r>
    </w:p>
    <w:p w14:paraId="297A8FF2" w14:textId="77777777" w:rsidR="00E55290" w:rsidRPr="00B94D3E" w:rsidRDefault="00E55290" w:rsidP="00E55290">
      <w:pPr>
        <w:pStyle w:val="ArticleHeading"/>
        <w:rPr>
          <w:color w:val="auto"/>
        </w:rPr>
      </w:pPr>
      <w:r w:rsidRPr="00B94D3E">
        <w:rPr>
          <w:color w:val="auto"/>
        </w:rPr>
        <w:t>article 4. make-ready pole access.</w:t>
      </w:r>
    </w:p>
    <w:p w14:paraId="5DF1030A" w14:textId="77777777" w:rsidR="00E55290" w:rsidRPr="00B94D3E" w:rsidRDefault="00E55290" w:rsidP="00E55290">
      <w:pPr>
        <w:pStyle w:val="SectionHeading"/>
        <w:rPr>
          <w:color w:val="auto"/>
        </w:rPr>
        <w:sectPr w:rsidR="00E55290" w:rsidRPr="00B94D3E" w:rsidSect="00E5529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94D3E">
        <w:rPr>
          <w:color w:val="auto"/>
        </w:rPr>
        <w:t>§31G-4-1. Definitions.</w:t>
      </w:r>
    </w:p>
    <w:p w14:paraId="020E8575" w14:textId="77777777" w:rsidR="00E55290" w:rsidRPr="00B94D3E" w:rsidRDefault="00E55290" w:rsidP="00E55290">
      <w:pPr>
        <w:pStyle w:val="SectionBody"/>
        <w:rPr>
          <w:color w:val="auto"/>
        </w:rPr>
      </w:pPr>
      <w:r w:rsidRPr="00B94D3E">
        <w:rPr>
          <w:color w:val="auto"/>
        </w:rPr>
        <w:t>As used in this article, the following terms are defined as follows:</w:t>
      </w:r>
    </w:p>
    <w:p w14:paraId="02227F6C" w14:textId="77777777" w:rsidR="00E55290" w:rsidRPr="00B94D3E" w:rsidRDefault="00E55290" w:rsidP="00E55290">
      <w:pPr>
        <w:pStyle w:val="SectionBody"/>
        <w:rPr>
          <w:color w:val="auto"/>
        </w:rPr>
      </w:pPr>
      <w:r w:rsidRPr="00B94D3E">
        <w:rPr>
          <w:color w:val="auto"/>
        </w:rPr>
        <w:t xml:space="preserve">(1) “Applicable codes” means uniform building, fire, electrical, plumbing, or mechanical codes adopted by a recognized national code organization, including, but not limited to, the National Electrical Safety Code, or any local amendments to those codes: </w:t>
      </w:r>
      <w:r w:rsidRPr="00B94D3E">
        <w:rPr>
          <w:i/>
          <w:color w:val="auto"/>
        </w:rPr>
        <w:t>Provided</w:t>
      </w:r>
      <w:r w:rsidRPr="00B94D3E">
        <w:rPr>
          <w:iCs/>
          <w:color w:val="auto"/>
        </w:rPr>
        <w:t>,</w:t>
      </w:r>
      <w:r w:rsidRPr="00B94D3E">
        <w:rPr>
          <w:color w:val="auto"/>
        </w:rPr>
        <w:t xml:space="preserve"> That notwithstanding any other provisions of said applicable codes, the Code of West Virginia, or the West Virginia Code of State Rules, variances for the installation and maintenance of broadband service infrastructure on utility poles shall be permitted if these are agreed upon between infrastructure owners</w:t>
      </w:r>
      <w:r w:rsidRPr="00B94D3E">
        <w:rPr>
          <w:bCs/>
          <w:color w:val="auto"/>
        </w:rPr>
        <w:t xml:space="preserve">. </w:t>
      </w:r>
      <w:r w:rsidRPr="00B94D3E">
        <w:rPr>
          <w:color w:val="auto"/>
        </w:rPr>
        <w:t xml:space="preserve"> </w:t>
      </w:r>
    </w:p>
    <w:p w14:paraId="007F0245" w14:textId="77777777" w:rsidR="00E55290" w:rsidRPr="00B94D3E" w:rsidRDefault="00E55290" w:rsidP="00E55290">
      <w:pPr>
        <w:pStyle w:val="SectionBody"/>
        <w:rPr>
          <w:color w:val="auto"/>
        </w:rPr>
      </w:pPr>
      <w:r w:rsidRPr="00B94D3E">
        <w:rPr>
          <w:color w:val="auto"/>
        </w:rPr>
        <w:t>(2) “Attacher” means any person, corporation, or other entity, or the agents or contractors of such seeking to permanently or temporarily fasten or affix any type of equipment, antenna, line, or facility of any kind to a utility pole in the right of way or its adjacent ground space.</w:t>
      </w:r>
    </w:p>
    <w:p w14:paraId="2386C5BD" w14:textId="51460E3A" w:rsidR="00E55290" w:rsidRPr="00B94D3E" w:rsidRDefault="00E55290" w:rsidP="00E55290">
      <w:pPr>
        <w:pStyle w:val="SectionBody"/>
        <w:rPr>
          <w:color w:val="auto"/>
        </w:rPr>
      </w:pPr>
      <w:r w:rsidRPr="00B94D3E">
        <w:rPr>
          <w:color w:val="auto"/>
        </w:rPr>
        <w:t xml:space="preserve">(3) “Attachment </w:t>
      </w:r>
      <w:r w:rsidR="00CE3187" w:rsidRPr="00B94D3E">
        <w:rPr>
          <w:color w:val="auto"/>
        </w:rPr>
        <w:t>a</w:t>
      </w:r>
      <w:r w:rsidRPr="00B94D3E">
        <w:rPr>
          <w:color w:val="auto"/>
        </w:rPr>
        <w:t xml:space="preserve">pplication” means the application made by an </w:t>
      </w:r>
      <w:r w:rsidR="0058425D" w:rsidRPr="00B94D3E">
        <w:rPr>
          <w:color w:val="auto"/>
        </w:rPr>
        <w:t>a</w:t>
      </w:r>
      <w:r w:rsidRPr="00B94D3E">
        <w:rPr>
          <w:color w:val="auto"/>
        </w:rPr>
        <w:t xml:space="preserve">ttacher to a </w:t>
      </w:r>
      <w:r w:rsidR="0058425D" w:rsidRPr="00B94D3E">
        <w:rPr>
          <w:color w:val="auto"/>
        </w:rPr>
        <w:t>p</w:t>
      </w:r>
      <w:r w:rsidRPr="00B94D3E">
        <w:rPr>
          <w:color w:val="auto"/>
        </w:rPr>
        <w:t xml:space="preserve">ole </w:t>
      </w:r>
      <w:r w:rsidR="00CE3187" w:rsidRPr="00B94D3E">
        <w:rPr>
          <w:color w:val="auto"/>
        </w:rPr>
        <w:t>o</w:t>
      </w:r>
      <w:r w:rsidRPr="00B94D3E">
        <w:rPr>
          <w:color w:val="auto"/>
        </w:rPr>
        <w:t>wner for attachment of equipment, antenna, line</w:t>
      </w:r>
      <w:r w:rsidR="0058425D" w:rsidRPr="00B94D3E">
        <w:rPr>
          <w:color w:val="auto"/>
        </w:rPr>
        <w:t>,</w:t>
      </w:r>
      <w:r w:rsidRPr="00B94D3E">
        <w:rPr>
          <w:color w:val="auto"/>
        </w:rPr>
        <w:t xml:space="preserve"> or facility of any kind to a utility pole. It shall include: </w:t>
      </w:r>
    </w:p>
    <w:p w14:paraId="045CAA1D" w14:textId="77777777" w:rsidR="00E55290" w:rsidRPr="00B94D3E" w:rsidRDefault="00E55290" w:rsidP="00E55290">
      <w:pPr>
        <w:pStyle w:val="SectionBody"/>
        <w:rPr>
          <w:color w:val="auto"/>
        </w:rPr>
      </w:pPr>
      <w:r w:rsidRPr="00B94D3E">
        <w:rPr>
          <w:color w:val="auto"/>
        </w:rPr>
        <w:t xml:space="preserve">(A) Proof of insurance; or </w:t>
      </w:r>
    </w:p>
    <w:p w14:paraId="71F6C025" w14:textId="0CDC8196" w:rsidR="00E55290" w:rsidRPr="00B94D3E" w:rsidRDefault="00E55290" w:rsidP="00E55290">
      <w:pPr>
        <w:pStyle w:val="SectionBody"/>
        <w:rPr>
          <w:color w:val="auto"/>
        </w:rPr>
      </w:pPr>
      <w:r w:rsidRPr="00B94D3E">
        <w:rPr>
          <w:color w:val="auto"/>
        </w:rPr>
        <w:t xml:space="preserve">(B) An indemnification agreement prepared by the </w:t>
      </w:r>
      <w:r w:rsidR="0058425D" w:rsidRPr="00B94D3E">
        <w:rPr>
          <w:color w:val="auto"/>
        </w:rPr>
        <w:t>p</w:t>
      </w:r>
      <w:r w:rsidRPr="00B94D3E">
        <w:rPr>
          <w:color w:val="auto"/>
        </w:rPr>
        <w:t xml:space="preserve">ole </w:t>
      </w:r>
      <w:r w:rsidR="0058425D" w:rsidRPr="00B94D3E">
        <w:rPr>
          <w:color w:val="auto"/>
        </w:rPr>
        <w:t>o</w:t>
      </w:r>
      <w:r w:rsidRPr="00B94D3E">
        <w:rPr>
          <w:color w:val="auto"/>
        </w:rPr>
        <w:t xml:space="preserve">wner. </w:t>
      </w:r>
    </w:p>
    <w:p w14:paraId="223652B0" w14:textId="282FA054" w:rsidR="00E55290" w:rsidRPr="00B94D3E" w:rsidRDefault="00CE3187" w:rsidP="00E55290">
      <w:pPr>
        <w:pStyle w:val="SectionBody"/>
        <w:rPr>
          <w:color w:val="auto"/>
        </w:rPr>
      </w:pPr>
      <w:r w:rsidRPr="00B94D3E">
        <w:rPr>
          <w:color w:val="auto"/>
        </w:rPr>
        <w:lastRenderedPageBreak/>
        <w:t xml:space="preserve">(4) </w:t>
      </w:r>
      <w:r w:rsidR="00E55290" w:rsidRPr="00B94D3E">
        <w:rPr>
          <w:color w:val="auto"/>
        </w:rPr>
        <w:t xml:space="preserve">“Broadband </w:t>
      </w:r>
      <w:r w:rsidRPr="00B94D3E">
        <w:rPr>
          <w:color w:val="auto"/>
        </w:rPr>
        <w:t>s</w:t>
      </w:r>
      <w:r w:rsidR="00E55290" w:rsidRPr="00B94D3E">
        <w:rPr>
          <w:color w:val="auto"/>
        </w:rPr>
        <w:t>ervice” means the same as that term is defined in §31G-1-2 of this code.</w:t>
      </w:r>
    </w:p>
    <w:p w14:paraId="190EFE89" w14:textId="6EBB8D19" w:rsidR="00E55290" w:rsidRPr="00B94D3E" w:rsidRDefault="00CE3187" w:rsidP="00E55290">
      <w:pPr>
        <w:pStyle w:val="SectionBody"/>
        <w:rPr>
          <w:color w:val="auto"/>
        </w:rPr>
      </w:pPr>
      <w:r w:rsidRPr="00B94D3E">
        <w:rPr>
          <w:color w:val="auto"/>
        </w:rPr>
        <w:t xml:space="preserve">(5) </w:t>
      </w:r>
      <w:r w:rsidR="00E55290" w:rsidRPr="00B94D3E">
        <w:rPr>
          <w:color w:val="auto"/>
        </w:rPr>
        <w:t xml:space="preserve">“Commission” means the Public Service Commission as set forth in §24-1-1 </w:t>
      </w:r>
      <w:r w:rsidR="00E55290" w:rsidRPr="00B94D3E">
        <w:rPr>
          <w:i/>
          <w:iCs/>
          <w:color w:val="auto"/>
        </w:rPr>
        <w:t>et seq.</w:t>
      </w:r>
      <w:r w:rsidR="00E55290" w:rsidRPr="00B94D3E">
        <w:rPr>
          <w:color w:val="auto"/>
        </w:rPr>
        <w:t xml:space="preserve"> of this code. </w:t>
      </w:r>
    </w:p>
    <w:p w14:paraId="6F478404" w14:textId="27CA9A1F" w:rsidR="00E55290" w:rsidRPr="00B94D3E" w:rsidRDefault="00E55290" w:rsidP="00E55290">
      <w:pPr>
        <w:pStyle w:val="SectionBody"/>
        <w:rPr>
          <w:color w:val="auto"/>
        </w:rPr>
      </w:pPr>
      <w:r w:rsidRPr="00B94D3E">
        <w:rPr>
          <w:color w:val="auto"/>
        </w:rPr>
        <w:t>(</w:t>
      </w:r>
      <w:r w:rsidR="00CE3187" w:rsidRPr="00B94D3E">
        <w:rPr>
          <w:color w:val="auto"/>
        </w:rPr>
        <w:t>6</w:t>
      </w:r>
      <w:r w:rsidRPr="00B94D3E">
        <w:rPr>
          <w:color w:val="auto"/>
        </w:rPr>
        <w:t>) “Make</w:t>
      </w:r>
      <w:r w:rsidR="00CE3187" w:rsidRPr="00B94D3E">
        <w:rPr>
          <w:color w:val="auto"/>
        </w:rPr>
        <w:t>-r</w:t>
      </w:r>
      <w:r w:rsidRPr="00B94D3E">
        <w:rPr>
          <w:color w:val="auto"/>
        </w:rPr>
        <w:t>eady</w:t>
      </w:r>
      <w:r w:rsidR="00B05328" w:rsidRPr="00B94D3E">
        <w:rPr>
          <w:color w:val="auto"/>
        </w:rPr>
        <w:t>-</w:t>
      </w:r>
      <w:r w:rsidR="00CE3187" w:rsidRPr="00B94D3E">
        <w:rPr>
          <w:color w:val="auto"/>
        </w:rPr>
        <w:t>c</w:t>
      </w:r>
      <w:r w:rsidRPr="00B94D3E">
        <w:rPr>
          <w:color w:val="auto"/>
        </w:rPr>
        <w:t xml:space="preserve">osts” means the costs incurred by an </w:t>
      </w:r>
      <w:r w:rsidR="0058425D" w:rsidRPr="00B94D3E">
        <w:rPr>
          <w:color w:val="auto"/>
        </w:rPr>
        <w:t>a</w:t>
      </w:r>
      <w:r w:rsidRPr="00B94D3E">
        <w:rPr>
          <w:color w:val="auto"/>
        </w:rPr>
        <w:t xml:space="preserve">ttacher associated with the transfer of the facilities, antenna, lines, or equipment of a </w:t>
      </w:r>
      <w:r w:rsidR="0058425D" w:rsidRPr="00B94D3E">
        <w:rPr>
          <w:color w:val="auto"/>
        </w:rPr>
        <w:t>p</w:t>
      </w:r>
      <w:r w:rsidRPr="00B94D3E">
        <w:rPr>
          <w:color w:val="auto"/>
        </w:rPr>
        <w:t>re-</w:t>
      </w:r>
      <w:r w:rsidR="0058425D" w:rsidRPr="00B94D3E">
        <w:rPr>
          <w:color w:val="auto"/>
        </w:rPr>
        <w:t>e</w:t>
      </w:r>
      <w:r w:rsidRPr="00B94D3E">
        <w:rPr>
          <w:color w:val="auto"/>
        </w:rPr>
        <w:t xml:space="preserve">xisting </w:t>
      </w:r>
      <w:r w:rsidR="00B05328" w:rsidRPr="00B94D3E">
        <w:rPr>
          <w:color w:val="auto"/>
        </w:rPr>
        <w:t>third-party</w:t>
      </w:r>
      <w:r w:rsidRPr="00B94D3E">
        <w:rPr>
          <w:color w:val="auto"/>
        </w:rPr>
        <w:t xml:space="preserve"> </w:t>
      </w:r>
      <w:r w:rsidR="0058425D" w:rsidRPr="00B94D3E">
        <w:rPr>
          <w:color w:val="auto"/>
        </w:rPr>
        <w:t>u</w:t>
      </w:r>
      <w:r w:rsidRPr="00B94D3E">
        <w:rPr>
          <w:color w:val="auto"/>
        </w:rPr>
        <w:t xml:space="preserve">ser, undertaken by an </w:t>
      </w:r>
      <w:r w:rsidR="0058425D" w:rsidRPr="00B94D3E">
        <w:rPr>
          <w:color w:val="auto"/>
        </w:rPr>
        <w:t>a</w:t>
      </w:r>
      <w:r w:rsidRPr="00B94D3E">
        <w:rPr>
          <w:color w:val="auto"/>
        </w:rPr>
        <w:t xml:space="preserve">ttacher to enable attachment to the utility pole or similar structure. Make-Ready Costs that are to be paid by an </w:t>
      </w:r>
      <w:r w:rsidR="0058425D" w:rsidRPr="00B94D3E">
        <w:rPr>
          <w:color w:val="auto"/>
        </w:rPr>
        <w:t>a</w:t>
      </w:r>
      <w:r w:rsidRPr="00B94D3E">
        <w:rPr>
          <w:color w:val="auto"/>
        </w:rPr>
        <w:t xml:space="preserve">ttacher include, without limitation, all costs and expenses to relocate or alter the attachments or facilities of any </w:t>
      </w:r>
      <w:r w:rsidR="0058425D" w:rsidRPr="00B94D3E">
        <w:rPr>
          <w:color w:val="auto"/>
        </w:rPr>
        <w:t>p</w:t>
      </w:r>
      <w:r w:rsidRPr="00B94D3E">
        <w:rPr>
          <w:color w:val="auto"/>
        </w:rPr>
        <w:t>re-</w:t>
      </w:r>
      <w:r w:rsidR="0058425D" w:rsidRPr="00B94D3E">
        <w:rPr>
          <w:color w:val="auto"/>
        </w:rPr>
        <w:t>e</w:t>
      </w:r>
      <w:r w:rsidRPr="00B94D3E">
        <w:rPr>
          <w:color w:val="auto"/>
        </w:rPr>
        <w:t xml:space="preserve">xisting </w:t>
      </w:r>
      <w:r w:rsidR="0058425D" w:rsidRPr="00B94D3E">
        <w:rPr>
          <w:color w:val="auto"/>
        </w:rPr>
        <w:t>t</w:t>
      </w:r>
      <w:r w:rsidRPr="00B94D3E">
        <w:rPr>
          <w:color w:val="auto"/>
        </w:rPr>
        <w:t>hird</w:t>
      </w:r>
      <w:r w:rsidR="00B05328" w:rsidRPr="00B94D3E">
        <w:rPr>
          <w:color w:val="auto"/>
        </w:rPr>
        <w:t>-</w:t>
      </w:r>
      <w:r w:rsidR="0058425D" w:rsidRPr="00B94D3E">
        <w:rPr>
          <w:color w:val="auto"/>
        </w:rPr>
        <w:t>p</w:t>
      </w:r>
      <w:r w:rsidRPr="00B94D3E">
        <w:rPr>
          <w:color w:val="auto"/>
        </w:rPr>
        <w:t xml:space="preserve">arty </w:t>
      </w:r>
      <w:r w:rsidR="0058425D" w:rsidRPr="00B94D3E">
        <w:rPr>
          <w:color w:val="auto"/>
        </w:rPr>
        <w:t>u</w:t>
      </w:r>
      <w:r w:rsidRPr="00B94D3E">
        <w:rPr>
          <w:color w:val="auto"/>
        </w:rPr>
        <w:t xml:space="preserve">ser as may be necessary to accommodate an </w:t>
      </w:r>
      <w:r w:rsidR="0058425D" w:rsidRPr="00B94D3E">
        <w:rPr>
          <w:color w:val="auto"/>
        </w:rPr>
        <w:t>a</w:t>
      </w:r>
      <w:r w:rsidRPr="00B94D3E">
        <w:rPr>
          <w:color w:val="auto"/>
        </w:rPr>
        <w:t>ttacher’s attachment.</w:t>
      </w:r>
    </w:p>
    <w:p w14:paraId="25A07AC7" w14:textId="37052785" w:rsidR="00E55290" w:rsidRPr="00B94D3E" w:rsidRDefault="00CE3187" w:rsidP="00E55290">
      <w:pPr>
        <w:pStyle w:val="SectionBody"/>
        <w:rPr>
          <w:color w:val="auto"/>
        </w:rPr>
      </w:pPr>
      <w:r w:rsidRPr="00B94D3E">
        <w:rPr>
          <w:color w:val="auto"/>
        </w:rPr>
        <w:t xml:space="preserve">(7) </w:t>
      </w:r>
      <w:r w:rsidR="00E55290" w:rsidRPr="00B94D3E">
        <w:rPr>
          <w:color w:val="auto"/>
        </w:rPr>
        <w:t xml:space="preserve">“Telecommunications </w:t>
      </w:r>
      <w:r w:rsidR="0058425D" w:rsidRPr="00B94D3E">
        <w:rPr>
          <w:color w:val="auto"/>
        </w:rPr>
        <w:t>c</w:t>
      </w:r>
      <w:r w:rsidR="00E55290" w:rsidRPr="00B94D3E">
        <w:rPr>
          <w:color w:val="auto"/>
        </w:rPr>
        <w:t xml:space="preserve">arrier” means either: </w:t>
      </w:r>
    </w:p>
    <w:p w14:paraId="1892D85F" w14:textId="32A6FF85" w:rsidR="00E55290" w:rsidRPr="00B94D3E" w:rsidRDefault="00E55290" w:rsidP="00E55290">
      <w:pPr>
        <w:pStyle w:val="SectionBody"/>
        <w:rPr>
          <w:color w:val="auto"/>
        </w:rPr>
      </w:pPr>
      <w:r w:rsidRPr="00B94D3E">
        <w:rPr>
          <w:color w:val="auto"/>
        </w:rPr>
        <w:t xml:space="preserve">(A)  A telecommunication carrier as determined by </w:t>
      </w:r>
      <w:r w:rsidR="00345CF5" w:rsidRPr="00B94D3E">
        <w:rPr>
          <w:color w:val="auto"/>
        </w:rPr>
        <w:t>the Department of Economic Development</w:t>
      </w:r>
      <w:r w:rsidR="0058425D" w:rsidRPr="00B94D3E">
        <w:rPr>
          <w:color w:val="auto"/>
        </w:rPr>
        <w:t>;</w:t>
      </w:r>
      <w:r w:rsidRPr="00B94D3E">
        <w:rPr>
          <w:color w:val="auto"/>
        </w:rPr>
        <w:t xml:space="preserve"> or </w:t>
      </w:r>
    </w:p>
    <w:p w14:paraId="54837134" w14:textId="77777777" w:rsidR="00E55290" w:rsidRPr="00B94D3E" w:rsidRDefault="00E55290" w:rsidP="00E55290">
      <w:pPr>
        <w:pStyle w:val="SectionBody"/>
        <w:rPr>
          <w:color w:val="auto"/>
        </w:rPr>
      </w:pPr>
      <w:r w:rsidRPr="00B94D3E">
        <w:rPr>
          <w:color w:val="auto"/>
        </w:rPr>
        <w:t xml:space="preserve">(B) A telecommunication carrier that meets the definition of such with respect to the Federal Communication Commission, as set forth in 47 U.S.C. § 153.  </w:t>
      </w:r>
    </w:p>
    <w:p w14:paraId="519AB6AD" w14:textId="40202D9F" w:rsidR="00E55290" w:rsidRPr="00B94D3E" w:rsidRDefault="00E55290" w:rsidP="00E55290">
      <w:pPr>
        <w:pStyle w:val="SectionBody"/>
        <w:rPr>
          <w:color w:val="auto"/>
        </w:rPr>
      </w:pPr>
      <w:r w:rsidRPr="00B94D3E">
        <w:rPr>
          <w:color w:val="auto"/>
        </w:rPr>
        <w:t>(</w:t>
      </w:r>
      <w:r w:rsidR="00CE3187" w:rsidRPr="00B94D3E">
        <w:rPr>
          <w:color w:val="auto"/>
        </w:rPr>
        <w:t>8</w:t>
      </w:r>
      <w:r w:rsidRPr="00B94D3E">
        <w:rPr>
          <w:color w:val="auto"/>
        </w:rPr>
        <w:t xml:space="preserve">) “Pole </w:t>
      </w:r>
      <w:r w:rsidR="00CE3187" w:rsidRPr="00B94D3E">
        <w:rPr>
          <w:color w:val="auto"/>
        </w:rPr>
        <w:t>o</w:t>
      </w:r>
      <w:r w:rsidRPr="00B94D3E">
        <w:rPr>
          <w:color w:val="auto"/>
        </w:rPr>
        <w:t>wner” means a person, corporation</w:t>
      </w:r>
      <w:r w:rsidR="0058425D" w:rsidRPr="00B94D3E">
        <w:rPr>
          <w:color w:val="auto"/>
        </w:rPr>
        <w:t>,</w:t>
      </w:r>
      <w:r w:rsidRPr="00B94D3E">
        <w:rPr>
          <w:color w:val="auto"/>
        </w:rPr>
        <w:t xml:space="preserve"> or entity having ownership of a pole or similar structure in the right of way to which utilities, including without limitation, electric and communications facilities, are located or may be located whether such ownership is in fee simple or by franchise.</w:t>
      </w:r>
    </w:p>
    <w:p w14:paraId="375EDC12" w14:textId="2DB94D0C" w:rsidR="00E55290" w:rsidRPr="00B94D3E" w:rsidRDefault="00E55290" w:rsidP="00E55290">
      <w:pPr>
        <w:pStyle w:val="SectionBody"/>
        <w:rPr>
          <w:color w:val="auto"/>
        </w:rPr>
      </w:pPr>
      <w:r w:rsidRPr="00B94D3E">
        <w:rPr>
          <w:color w:val="auto"/>
        </w:rPr>
        <w:t>(</w:t>
      </w:r>
      <w:r w:rsidR="00CE3187" w:rsidRPr="00B94D3E">
        <w:rPr>
          <w:color w:val="auto"/>
        </w:rPr>
        <w:t>9</w:t>
      </w:r>
      <w:r w:rsidRPr="00B94D3E">
        <w:rPr>
          <w:color w:val="auto"/>
        </w:rPr>
        <w:t>) “Pre-</w:t>
      </w:r>
      <w:r w:rsidR="00CE3187" w:rsidRPr="00B94D3E">
        <w:rPr>
          <w:color w:val="auto"/>
        </w:rPr>
        <w:t>e</w:t>
      </w:r>
      <w:r w:rsidRPr="00B94D3E">
        <w:rPr>
          <w:color w:val="auto"/>
        </w:rPr>
        <w:t xml:space="preserve">xisting </w:t>
      </w:r>
      <w:r w:rsidR="00CE3187" w:rsidRPr="00B94D3E">
        <w:rPr>
          <w:color w:val="auto"/>
        </w:rPr>
        <w:t>t</w:t>
      </w:r>
      <w:r w:rsidRPr="00B94D3E">
        <w:rPr>
          <w:color w:val="auto"/>
        </w:rPr>
        <w:t>hird</w:t>
      </w:r>
      <w:r w:rsidR="00B05328" w:rsidRPr="00B94D3E">
        <w:rPr>
          <w:color w:val="auto"/>
        </w:rPr>
        <w:t>-</w:t>
      </w:r>
      <w:r w:rsidR="00CE3187" w:rsidRPr="00B94D3E">
        <w:rPr>
          <w:color w:val="auto"/>
        </w:rPr>
        <w:t>p</w:t>
      </w:r>
      <w:r w:rsidRPr="00B94D3E">
        <w:rPr>
          <w:color w:val="auto"/>
        </w:rPr>
        <w:t xml:space="preserve">arty </w:t>
      </w:r>
      <w:r w:rsidR="00CE3187" w:rsidRPr="00B94D3E">
        <w:rPr>
          <w:color w:val="auto"/>
        </w:rPr>
        <w:t>u</w:t>
      </w:r>
      <w:r w:rsidRPr="00B94D3E">
        <w:rPr>
          <w:color w:val="auto"/>
        </w:rPr>
        <w:t>ser” means the owner of any currently operating facilities, antenna, lines</w:t>
      </w:r>
      <w:r w:rsidR="0058425D" w:rsidRPr="00B94D3E">
        <w:rPr>
          <w:color w:val="auto"/>
        </w:rPr>
        <w:t>,</w:t>
      </w:r>
      <w:r w:rsidRPr="00B94D3E">
        <w:rPr>
          <w:color w:val="auto"/>
        </w:rPr>
        <w:t xml:space="preserve"> or equipment on a pole or its adjacent ground space in the right of way.</w:t>
      </w:r>
    </w:p>
    <w:p w14:paraId="4D2D747B" w14:textId="0E96675E" w:rsidR="00E55290" w:rsidRPr="00B94D3E" w:rsidRDefault="00CE3187" w:rsidP="00E55290">
      <w:pPr>
        <w:pStyle w:val="SectionBody"/>
        <w:rPr>
          <w:color w:val="auto"/>
        </w:rPr>
      </w:pPr>
      <w:r w:rsidRPr="00B94D3E">
        <w:rPr>
          <w:color w:val="auto"/>
        </w:rPr>
        <w:t xml:space="preserve">(10) </w:t>
      </w:r>
      <w:r w:rsidR="00E55290" w:rsidRPr="00B94D3E">
        <w:rPr>
          <w:color w:val="auto"/>
        </w:rPr>
        <w:t xml:space="preserve">“Utility </w:t>
      </w:r>
      <w:r w:rsidRPr="00B94D3E">
        <w:rPr>
          <w:color w:val="auto"/>
        </w:rPr>
        <w:t>f</w:t>
      </w:r>
      <w:r w:rsidR="00E55290" w:rsidRPr="00B94D3E">
        <w:rPr>
          <w:color w:val="auto"/>
        </w:rPr>
        <w:t xml:space="preserve">acility” means the same as that term is defined in §17-2A-17a of this code. </w:t>
      </w:r>
    </w:p>
    <w:p w14:paraId="63DA79A2" w14:textId="23594AC2" w:rsidR="00E55290" w:rsidRPr="00B94D3E" w:rsidRDefault="00CE3187" w:rsidP="00E55290">
      <w:pPr>
        <w:pStyle w:val="SectionBody"/>
        <w:rPr>
          <w:color w:val="auto"/>
        </w:rPr>
      </w:pPr>
      <w:r w:rsidRPr="00B94D3E">
        <w:rPr>
          <w:color w:val="auto"/>
        </w:rPr>
        <w:t xml:space="preserve">(11) </w:t>
      </w:r>
      <w:r w:rsidR="00E55290" w:rsidRPr="00B94D3E">
        <w:rPr>
          <w:color w:val="auto"/>
        </w:rPr>
        <w:t xml:space="preserve">“Utility </w:t>
      </w:r>
      <w:r w:rsidRPr="00B94D3E">
        <w:rPr>
          <w:color w:val="auto"/>
        </w:rPr>
        <w:t>p</w:t>
      </w:r>
      <w:r w:rsidR="00E55290" w:rsidRPr="00B94D3E">
        <w:rPr>
          <w:color w:val="auto"/>
        </w:rPr>
        <w:t>oles” or “</w:t>
      </w:r>
      <w:r w:rsidRPr="00B94D3E">
        <w:rPr>
          <w:color w:val="auto"/>
        </w:rPr>
        <w:t>p</w:t>
      </w:r>
      <w:r w:rsidR="00E55290" w:rsidRPr="00B94D3E">
        <w:rPr>
          <w:color w:val="auto"/>
        </w:rPr>
        <w:t xml:space="preserve">oles” means </w:t>
      </w:r>
      <w:r w:rsidR="0058425D" w:rsidRPr="00B94D3E">
        <w:rPr>
          <w:color w:val="auto"/>
        </w:rPr>
        <w:t>poles that are</w:t>
      </w:r>
      <w:r w:rsidR="00E55290" w:rsidRPr="00B94D3E">
        <w:rPr>
          <w:color w:val="auto"/>
        </w:rPr>
        <w:t xml:space="preserve"> used to support electrical, cable television, telephone, and broadband service.  </w:t>
      </w:r>
    </w:p>
    <w:p w14:paraId="4F792BB8" w14:textId="55D79FD0" w:rsidR="00E55290" w:rsidRPr="00B94D3E" w:rsidRDefault="00CE3187" w:rsidP="00E55290">
      <w:pPr>
        <w:pStyle w:val="SectionBody"/>
        <w:rPr>
          <w:color w:val="auto"/>
        </w:rPr>
      </w:pPr>
      <w:r w:rsidRPr="00B94D3E">
        <w:rPr>
          <w:color w:val="auto"/>
        </w:rPr>
        <w:t xml:space="preserve">(12) </w:t>
      </w:r>
      <w:r w:rsidR="00E55290" w:rsidRPr="00B94D3E">
        <w:rPr>
          <w:color w:val="auto"/>
        </w:rPr>
        <w:t xml:space="preserve">“Wireless </w:t>
      </w:r>
      <w:r w:rsidRPr="00B94D3E">
        <w:rPr>
          <w:color w:val="auto"/>
        </w:rPr>
        <w:t>a</w:t>
      </w:r>
      <w:r w:rsidR="00E55290" w:rsidRPr="00B94D3E">
        <w:rPr>
          <w:color w:val="auto"/>
        </w:rPr>
        <w:t xml:space="preserve">ccess” means access to and use of a right-of-way for the purpose of constructing, installing, maintaining, using, or operating telecommunications facilities for wireless communication purposes.  </w:t>
      </w:r>
    </w:p>
    <w:p w14:paraId="768F12F3" w14:textId="51B6A84D" w:rsidR="00E55290" w:rsidRPr="00B94D3E" w:rsidRDefault="00E55290" w:rsidP="00E55290">
      <w:pPr>
        <w:pStyle w:val="SectionHeading"/>
        <w:rPr>
          <w:color w:val="auto"/>
        </w:rPr>
        <w:sectPr w:rsidR="00E55290" w:rsidRPr="00B94D3E" w:rsidSect="00E55290">
          <w:type w:val="continuous"/>
          <w:pgSz w:w="12240" w:h="15840" w:code="1"/>
          <w:pgMar w:top="1440" w:right="1440" w:bottom="1440" w:left="1440" w:header="720" w:footer="720" w:gutter="0"/>
          <w:lnNumType w:countBy="1" w:restart="newSection"/>
          <w:cols w:space="720"/>
          <w:docGrid w:linePitch="360"/>
        </w:sectPr>
      </w:pPr>
      <w:bookmarkStart w:id="1" w:name="_Hlk67924224"/>
      <w:r w:rsidRPr="00B94D3E">
        <w:rPr>
          <w:color w:val="auto"/>
        </w:rPr>
        <w:lastRenderedPageBreak/>
        <w:t>§31G-4-</w:t>
      </w:r>
      <w:r w:rsidR="00345CF5" w:rsidRPr="00B94D3E">
        <w:rPr>
          <w:color w:val="auto"/>
        </w:rPr>
        <w:t>7</w:t>
      </w:r>
      <w:r w:rsidRPr="00B94D3E">
        <w:rPr>
          <w:color w:val="auto"/>
        </w:rPr>
        <w:t xml:space="preserve">. </w:t>
      </w:r>
      <w:r w:rsidR="00345CF5" w:rsidRPr="00B94D3E">
        <w:rPr>
          <w:color w:val="auto"/>
        </w:rPr>
        <w:t>Ready pole access notification and cost sharing.</w:t>
      </w:r>
    </w:p>
    <w:p w14:paraId="064835A2" w14:textId="1EFD97B3" w:rsidR="00E55290" w:rsidRPr="00B94D3E" w:rsidRDefault="00345CF5" w:rsidP="00E55290">
      <w:pPr>
        <w:pStyle w:val="SectionBody"/>
        <w:rPr>
          <w:color w:val="auto"/>
        </w:rPr>
      </w:pPr>
      <w:bookmarkStart w:id="2" w:name="_Hlk67925121"/>
      <w:r w:rsidRPr="00B94D3E">
        <w:rPr>
          <w:color w:val="auto"/>
        </w:rPr>
        <w:t>A</w:t>
      </w:r>
      <w:r w:rsidR="00E55290" w:rsidRPr="00B94D3E">
        <w:rPr>
          <w:color w:val="auto"/>
        </w:rPr>
        <w:t xml:space="preserve"> pole owner or manager </w:t>
      </w:r>
      <w:r w:rsidR="001D5668" w:rsidRPr="00B94D3E">
        <w:rPr>
          <w:color w:val="auto"/>
        </w:rPr>
        <w:t>which has determined a utility pole ready for telecommunication fibers to be added</w:t>
      </w:r>
      <w:r w:rsidR="0058425D" w:rsidRPr="00B94D3E">
        <w:rPr>
          <w:color w:val="auto"/>
        </w:rPr>
        <w:t>,</w:t>
      </w:r>
      <w:r w:rsidR="001D5668" w:rsidRPr="00B94D3E">
        <w:rPr>
          <w:color w:val="auto"/>
        </w:rPr>
        <w:t xml:space="preserve"> and the additional available capacity for that pole</w:t>
      </w:r>
      <w:r w:rsidR="0058425D" w:rsidRPr="00B94D3E">
        <w:rPr>
          <w:color w:val="auto"/>
        </w:rPr>
        <w:t>,</w:t>
      </w:r>
      <w:r w:rsidR="001D5668" w:rsidRPr="00B94D3E">
        <w:rPr>
          <w:color w:val="auto"/>
        </w:rPr>
        <w:t xml:space="preserve"> </w:t>
      </w:r>
      <w:r w:rsidRPr="00B94D3E">
        <w:rPr>
          <w:color w:val="auto"/>
        </w:rPr>
        <w:t xml:space="preserve">is required to </w:t>
      </w:r>
      <w:r w:rsidR="00E55290" w:rsidRPr="00B94D3E">
        <w:rPr>
          <w:color w:val="auto"/>
        </w:rPr>
        <w:t>make</w:t>
      </w:r>
      <w:r w:rsidR="001D5668" w:rsidRPr="00B94D3E">
        <w:rPr>
          <w:color w:val="auto"/>
        </w:rPr>
        <w:t xml:space="preserve"> such</w:t>
      </w:r>
      <w:r w:rsidR="00E55290" w:rsidRPr="00B94D3E">
        <w:rPr>
          <w:color w:val="auto"/>
        </w:rPr>
        <w:t xml:space="preserve"> known to the </w:t>
      </w:r>
      <w:r w:rsidRPr="00B94D3E">
        <w:rPr>
          <w:color w:val="auto"/>
        </w:rPr>
        <w:t>West Virginia Department of Economic Development</w:t>
      </w:r>
      <w:r w:rsidR="00E55290" w:rsidRPr="00B94D3E">
        <w:rPr>
          <w:color w:val="auto"/>
        </w:rPr>
        <w:t xml:space="preserve">. Telecommunication carriers will be notified by the </w:t>
      </w:r>
      <w:r w:rsidRPr="00B94D3E">
        <w:rPr>
          <w:color w:val="auto"/>
        </w:rPr>
        <w:t>West Virginia Department of Economic Development</w:t>
      </w:r>
      <w:r w:rsidR="00E55290" w:rsidRPr="00B94D3E">
        <w:rPr>
          <w:color w:val="auto"/>
        </w:rPr>
        <w:t xml:space="preserve"> within 15 days of the available space and the telecommunication carrier who intends to use the pole will share in the cost of the engineering work required. The telecommunication carrier shall be given 30 days to notify the pole owner or manager they will use the pole or poles for connectivity.</w:t>
      </w:r>
      <w:r w:rsidR="00F2228E" w:rsidRPr="00B94D3E">
        <w:rPr>
          <w:color w:val="auto"/>
        </w:rPr>
        <w:t xml:space="preserve"> The pole owner will be excluded </w:t>
      </w:r>
      <w:r w:rsidR="0058425D" w:rsidRPr="00B94D3E">
        <w:rPr>
          <w:color w:val="auto"/>
        </w:rPr>
        <w:t xml:space="preserve">from </w:t>
      </w:r>
      <w:r w:rsidR="0093343E" w:rsidRPr="00B94D3E">
        <w:rPr>
          <w:color w:val="auto"/>
        </w:rPr>
        <w:t>the requirements of this paragraph</w:t>
      </w:r>
      <w:r w:rsidR="00F2228E" w:rsidRPr="00B94D3E">
        <w:rPr>
          <w:color w:val="auto"/>
        </w:rPr>
        <w:t xml:space="preserve"> if </w:t>
      </w:r>
      <w:r w:rsidR="0058425D" w:rsidRPr="00B94D3E">
        <w:rPr>
          <w:color w:val="auto"/>
        </w:rPr>
        <w:t xml:space="preserve">the </w:t>
      </w:r>
      <w:r w:rsidR="00F2228E" w:rsidRPr="00B94D3E">
        <w:rPr>
          <w:color w:val="auto"/>
        </w:rPr>
        <w:t xml:space="preserve">pole owner has an </w:t>
      </w:r>
      <w:bookmarkStart w:id="3" w:name="_Hlk94004051"/>
      <w:r w:rsidR="00F2228E" w:rsidRPr="00B94D3E">
        <w:rPr>
          <w:color w:val="auto"/>
        </w:rPr>
        <w:t>electronic permitting and notification software system for processing pole attachment applications</w:t>
      </w:r>
      <w:bookmarkEnd w:id="3"/>
      <w:r w:rsidR="00F2228E" w:rsidRPr="00B94D3E">
        <w:rPr>
          <w:color w:val="auto"/>
        </w:rPr>
        <w:t>.</w:t>
      </w:r>
    </w:p>
    <w:bookmarkEnd w:id="1"/>
    <w:bookmarkEnd w:id="2"/>
    <w:p w14:paraId="5642B623" w14:textId="77777777" w:rsidR="00E55290" w:rsidRPr="00B94D3E" w:rsidRDefault="00E55290" w:rsidP="00E55290">
      <w:pPr>
        <w:pStyle w:val="Note"/>
        <w:rPr>
          <w:b/>
          <w:bCs/>
          <w:color w:val="auto"/>
        </w:rPr>
      </w:pPr>
    </w:p>
    <w:p w14:paraId="29AA7F7F" w14:textId="7246B4E1" w:rsidR="00E55290" w:rsidRPr="00B94D3E" w:rsidRDefault="00E55290" w:rsidP="00E55290">
      <w:pPr>
        <w:suppressLineNumbers/>
        <w:rPr>
          <w:rFonts w:eastAsia="Calibri"/>
          <w:color w:val="000000"/>
          <w:sz w:val="24"/>
        </w:rPr>
      </w:pPr>
    </w:p>
    <w:p w14:paraId="741C4539" w14:textId="77777777" w:rsidR="00E831B3" w:rsidRPr="00B94D3E" w:rsidRDefault="00E831B3" w:rsidP="00EF6030">
      <w:pPr>
        <w:pStyle w:val="References"/>
      </w:pPr>
    </w:p>
    <w:sectPr w:rsidR="00E831B3" w:rsidRPr="00B94D3E" w:rsidSect="00E552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0E02" w14:textId="77777777" w:rsidR="00E140D2" w:rsidRPr="00B844FE" w:rsidRDefault="00E140D2" w:rsidP="00B844FE">
      <w:r>
        <w:separator/>
      </w:r>
    </w:p>
  </w:endnote>
  <w:endnote w:type="continuationSeparator" w:id="0">
    <w:p w14:paraId="3ACA330C" w14:textId="77777777" w:rsidR="00E140D2" w:rsidRPr="00B844FE" w:rsidRDefault="00E140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6E07" w14:textId="77777777" w:rsidR="00E55290" w:rsidRDefault="00E55290" w:rsidP="002B2A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EDEBBA" w14:textId="77777777" w:rsidR="00E55290" w:rsidRPr="00E55290" w:rsidRDefault="00E55290" w:rsidP="00E55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F183" w14:textId="0B1994FD" w:rsidR="00E55290" w:rsidRDefault="00E55290" w:rsidP="002B2A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7C9EE8" w14:textId="10EC76CE" w:rsidR="00E55290" w:rsidRPr="00E55290" w:rsidRDefault="00E55290" w:rsidP="00E55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ABF8" w14:textId="77777777" w:rsidR="005977F4" w:rsidRDefault="00597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13F5" w14:textId="77777777" w:rsidR="00E140D2" w:rsidRPr="00B844FE" w:rsidRDefault="00E140D2" w:rsidP="00B844FE">
      <w:r>
        <w:separator/>
      </w:r>
    </w:p>
  </w:footnote>
  <w:footnote w:type="continuationSeparator" w:id="0">
    <w:p w14:paraId="05CDAF99" w14:textId="77777777" w:rsidR="00E140D2" w:rsidRPr="00B844FE" w:rsidRDefault="00E140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07B6" w14:textId="53ECC9D3" w:rsidR="00E55290" w:rsidRPr="00E55290" w:rsidRDefault="00E55290" w:rsidP="00E55290">
    <w:pPr>
      <w:pStyle w:val="Header"/>
    </w:pPr>
    <w:r>
      <w:t>CS for SB 231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E273" w14:textId="0993031D" w:rsidR="00E55290" w:rsidRPr="00E55290" w:rsidRDefault="005977F4" w:rsidP="00E55290">
    <w:pPr>
      <w:pStyle w:val="Header"/>
    </w:pPr>
    <w:r>
      <w:t xml:space="preserve">Enr </w:t>
    </w:r>
    <w:r w:rsidR="00E55290">
      <w:t>CS for SB 231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37C7" w14:textId="77777777" w:rsidR="005977F4" w:rsidRDefault="00597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3F56"/>
    <w:rsid w:val="00085D22"/>
    <w:rsid w:val="000C5C77"/>
    <w:rsid w:val="0010070F"/>
    <w:rsid w:val="0011244C"/>
    <w:rsid w:val="0015112E"/>
    <w:rsid w:val="001552E7"/>
    <w:rsid w:val="001566B4"/>
    <w:rsid w:val="00161EF1"/>
    <w:rsid w:val="00175B38"/>
    <w:rsid w:val="001C279E"/>
    <w:rsid w:val="001D459E"/>
    <w:rsid w:val="001D5668"/>
    <w:rsid w:val="00230763"/>
    <w:rsid w:val="0027011C"/>
    <w:rsid w:val="00274200"/>
    <w:rsid w:val="00275740"/>
    <w:rsid w:val="002A0269"/>
    <w:rsid w:val="002D78C3"/>
    <w:rsid w:val="00301F44"/>
    <w:rsid w:val="00303684"/>
    <w:rsid w:val="003143F5"/>
    <w:rsid w:val="00314854"/>
    <w:rsid w:val="00345CF5"/>
    <w:rsid w:val="00355A00"/>
    <w:rsid w:val="00365920"/>
    <w:rsid w:val="003C51CD"/>
    <w:rsid w:val="004247A2"/>
    <w:rsid w:val="004A4C35"/>
    <w:rsid w:val="004B2795"/>
    <w:rsid w:val="004B64B2"/>
    <w:rsid w:val="004C13DD"/>
    <w:rsid w:val="004E0F68"/>
    <w:rsid w:val="004E3441"/>
    <w:rsid w:val="00571DC3"/>
    <w:rsid w:val="0058425D"/>
    <w:rsid w:val="005977F4"/>
    <w:rsid w:val="005A0B42"/>
    <w:rsid w:val="005A5366"/>
    <w:rsid w:val="00637E73"/>
    <w:rsid w:val="00642236"/>
    <w:rsid w:val="006565E8"/>
    <w:rsid w:val="006865E9"/>
    <w:rsid w:val="00691F3E"/>
    <w:rsid w:val="00694BFB"/>
    <w:rsid w:val="006A106B"/>
    <w:rsid w:val="006C523D"/>
    <w:rsid w:val="006D4036"/>
    <w:rsid w:val="0078613F"/>
    <w:rsid w:val="007E02CF"/>
    <w:rsid w:val="007F1CF5"/>
    <w:rsid w:val="0081249D"/>
    <w:rsid w:val="00834EDE"/>
    <w:rsid w:val="008736AA"/>
    <w:rsid w:val="008D275D"/>
    <w:rsid w:val="0093343E"/>
    <w:rsid w:val="00970FB7"/>
    <w:rsid w:val="00980327"/>
    <w:rsid w:val="009E5E05"/>
    <w:rsid w:val="009F1067"/>
    <w:rsid w:val="00A109A6"/>
    <w:rsid w:val="00A31E01"/>
    <w:rsid w:val="00A35B03"/>
    <w:rsid w:val="00A51EE1"/>
    <w:rsid w:val="00A527AD"/>
    <w:rsid w:val="00A718CF"/>
    <w:rsid w:val="00A72E7C"/>
    <w:rsid w:val="00AC3B58"/>
    <w:rsid w:val="00AE48A0"/>
    <w:rsid w:val="00AE61BE"/>
    <w:rsid w:val="00B05328"/>
    <w:rsid w:val="00B16F25"/>
    <w:rsid w:val="00B24422"/>
    <w:rsid w:val="00B77E6A"/>
    <w:rsid w:val="00B80C20"/>
    <w:rsid w:val="00B844FE"/>
    <w:rsid w:val="00B94D3E"/>
    <w:rsid w:val="00BC562B"/>
    <w:rsid w:val="00BE3242"/>
    <w:rsid w:val="00C33014"/>
    <w:rsid w:val="00C33434"/>
    <w:rsid w:val="00C34869"/>
    <w:rsid w:val="00C42EB6"/>
    <w:rsid w:val="00C76EE7"/>
    <w:rsid w:val="00C85096"/>
    <w:rsid w:val="00CB20EF"/>
    <w:rsid w:val="00CD12CB"/>
    <w:rsid w:val="00CD36CF"/>
    <w:rsid w:val="00CD3F81"/>
    <w:rsid w:val="00CE3187"/>
    <w:rsid w:val="00CF1DCA"/>
    <w:rsid w:val="00D579FC"/>
    <w:rsid w:val="00DE526B"/>
    <w:rsid w:val="00DF199D"/>
    <w:rsid w:val="00DF4120"/>
    <w:rsid w:val="00E01542"/>
    <w:rsid w:val="00E140D2"/>
    <w:rsid w:val="00E365F1"/>
    <w:rsid w:val="00E55290"/>
    <w:rsid w:val="00E62F48"/>
    <w:rsid w:val="00E831B3"/>
    <w:rsid w:val="00EB203E"/>
    <w:rsid w:val="00EE70CB"/>
    <w:rsid w:val="00EF6030"/>
    <w:rsid w:val="00F2228E"/>
    <w:rsid w:val="00F23775"/>
    <w:rsid w:val="00F41CA2"/>
    <w:rsid w:val="00F443C0"/>
    <w:rsid w:val="00F50749"/>
    <w:rsid w:val="00F62EFB"/>
    <w:rsid w:val="00F939A4"/>
    <w:rsid w:val="00F94264"/>
    <w:rsid w:val="00FA7B09"/>
    <w:rsid w:val="00FC70C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40105D1"/>
  <w15:chartTrackingRefBased/>
  <w15:docId w15:val="{BC1D0DE4-6D60-4FC6-9CC8-F08111FE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E55290"/>
    <w:rPr>
      <w:rFonts w:eastAsia="Calibri"/>
      <w:color w:val="000000"/>
    </w:rPr>
  </w:style>
  <w:style w:type="character" w:customStyle="1" w:styleId="SectionHeadingChar">
    <w:name w:val="Section Heading Char"/>
    <w:link w:val="SectionHeading"/>
    <w:rsid w:val="00E55290"/>
    <w:rPr>
      <w:rFonts w:eastAsia="Calibri"/>
      <w:b/>
      <w:color w:val="000000"/>
    </w:rPr>
  </w:style>
  <w:style w:type="character" w:styleId="PageNumber">
    <w:name w:val="page number"/>
    <w:basedOn w:val="DefaultParagraphFont"/>
    <w:uiPriority w:val="99"/>
    <w:semiHidden/>
    <w:locked/>
    <w:rsid w:val="00E55290"/>
  </w:style>
  <w:style w:type="character" w:styleId="CommentReference">
    <w:name w:val="annotation reference"/>
    <w:basedOn w:val="DefaultParagraphFont"/>
    <w:uiPriority w:val="99"/>
    <w:semiHidden/>
    <w:locked/>
    <w:rsid w:val="009E5E05"/>
    <w:rPr>
      <w:sz w:val="16"/>
      <w:szCs w:val="16"/>
    </w:rPr>
  </w:style>
  <w:style w:type="paragraph" w:styleId="CommentText">
    <w:name w:val="annotation text"/>
    <w:basedOn w:val="Normal"/>
    <w:link w:val="CommentTextChar"/>
    <w:uiPriority w:val="99"/>
    <w:semiHidden/>
    <w:locked/>
    <w:rsid w:val="009E5E05"/>
    <w:pPr>
      <w:spacing w:line="240" w:lineRule="auto"/>
    </w:pPr>
    <w:rPr>
      <w:sz w:val="20"/>
      <w:szCs w:val="20"/>
    </w:rPr>
  </w:style>
  <w:style w:type="character" w:customStyle="1" w:styleId="CommentTextChar">
    <w:name w:val="Comment Text Char"/>
    <w:basedOn w:val="DefaultParagraphFont"/>
    <w:link w:val="CommentText"/>
    <w:uiPriority w:val="99"/>
    <w:semiHidden/>
    <w:rsid w:val="009E5E05"/>
    <w:rPr>
      <w:sz w:val="20"/>
      <w:szCs w:val="20"/>
    </w:rPr>
  </w:style>
  <w:style w:type="paragraph" w:styleId="CommentSubject">
    <w:name w:val="annotation subject"/>
    <w:basedOn w:val="CommentText"/>
    <w:next w:val="CommentText"/>
    <w:link w:val="CommentSubjectChar"/>
    <w:uiPriority w:val="99"/>
    <w:semiHidden/>
    <w:locked/>
    <w:rsid w:val="009E5E05"/>
    <w:rPr>
      <w:b/>
      <w:bCs/>
    </w:rPr>
  </w:style>
  <w:style w:type="character" w:customStyle="1" w:styleId="CommentSubjectChar">
    <w:name w:val="Comment Subject Char"/>
    <w:basedOn w:val="CommentTextChar"/>
    <w:link w:val="CommentSubject"/>
    <w:uiPriority w:val="99"/>
    <w:semiHidden/>
    <w:rsid w:val="009E5E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B046DF" w:rsidRDefault="00052C93">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B046DF" w:rsidRDefault="00052C93">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B046DF" w:rsidRDefault="00052C93">
          <w:pPr>
            <w:pStyle w:val="31DC770E9F534C1F9CDB2A76911FE768"/>
          </w:pPr>
          <w:r w:rsidRPr="00B844FE">
            <w:t>Number</w:t>
          </w:r>
        </w:p>
      </w:docPartBody>
    </w:docPart>
    <w:docPart>
      <w:docPartPr>
        <w:name w:val="12CEB635EF5643A49F90CB76D4175B78"/>
        <w:category>
          <w:name w:val="General"/>
          <w:gallery w:val="placeholder"/>
        </w:category>
        <w:types>
          <w:type w:val="bbPlcHdr"/>
        </w:types>
        <w:behaviors>
          <w:behavior w:val="content"/>
        </w:behaviors>
        <w:guid w:val="{CC2F7FD3-A974-4E8B-AB45-5F0BE49088E1}"/>
      </w:docPartPr>
      <w:docPartBody>
        <w:p w:rsidR="005A729E" w:rsidRDefault="009416EC" w:rsidP="009416EC">
          <w:pPr>
            <w:pStyle w:val="12CEB635EF5643A49F90CB76D4175B78"/>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DF"/>
    <w:rsid w:val="00052C93"/>
    <w:rsid w:val="000F4A4A"/>
    <w:rsid w:val="005A729E"/>
    <w:rsid w:val="009416EC"/>
    <w:rsid w:val="00AC05C8"/>
    <w:rsid w:val="00B0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B046DF"/>
    <w:rPr>
      <w:color w:val="808080"/>
    </w:rPr>
  </w:style>
  <w:style w:type="paragraph" w:customStyle="1" w:styleId="12CEB635EF5643A49F90CB76D4175B78">
    <w:name w:val="12CEB635EF5643A49F90CB76D4175B78"/>
    <w:rsid w:val="00941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769</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12</cp:revision>
  <cp:lastPrinted>2022-01-31T18:44:00Z</cp:lastPrinted>
  <dcterms:created xsi:type="dcterms:W3CDTF">2022-02-01T19:37:00Z</dcterms:created>
  <dcterms:modified xsi:type="dcterms:W3CDTF">2022-03-14T15:19:00Z</dcterms:modified>
</cp:coreProperties>
</file>